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DC5" w14:textId="711EF61E" w:rsidR="009A5B9C" w:rsidRPr="00E60333" w:rsidRDefault="00F24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3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Лекция 12 </w:t>
      </w:r>
      <w:r w:rsidR="00E60333" w:rsidRPr="00E60333">
        <w:rPr>
          <w:rFonts w:ascii="Times New Roman" w:hAnsi="Times New Roman" w:cs="Times New Roman"/>
          <w:b/>
          <w:bCs/>
          <w:sz w:val="24"/>
          <w:szCs w:val="24"/>
        </w:rPr>
        <w:t>Термодинамическое и статистическое обоснование теории активированного комплекса, современная концепция методов определения скорости, константы скорости для различного типа реакций.</w:t>
      </w:r>
    </w:p>
    <w:p w14:paraId="3E72945E" w14:textId="1D493263" w:rsidR="00E60333" w:rsidRDefault="00E603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033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E60333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 с термодинамическим и статистическим аспектом теории ТАК</w:t>
      </w:r>
    </w:p>
    <w:p w14:paraId="1344DF68" w14:textId="77777777" w:rsidR="00E60333" w:rsidRDefault="00E603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41B5A4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Cs w:val="0"/>
          <w:color w:val="000000"/>
          <w:spacing w:val="4"/>
          <w:sz w:val="24"/>
        </w:rPr>
      </w:pPr>
      <w:r w:rsidRPr="00394589">
        <w:rPr>
          <w:bCs w:val="0"/>
          <w:color w:val="000000"/>
          <w:spacing w:val="4"/>
          <w:sz w:val="24"/>
          <w:lang w:val="en-US"/>
        </w:rPr>
        <w:t>C</w:t>
      </w:r>
      <w:r w:rsidRPr="00394589">
        <w:rPr>
          <w:bCs w:val="0"/>
          <w:color w:val="000000"/>
          <w:spacing w:val="4"/>
          <w:sz w:val="24"/>
        </w:rPr>
        <w:t>татистический аспект теории активированного комплекса</w:t>
      </w:r>
    </w:p>
    <w:p w14:paraId="53E23BFA" w14:textId="77777777" w:rsidR="00E60333" w:rsidRPr="00394589" w:rsidRDefault="00E60333" w:rsidP="00E6033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4589">
        <w:rPr>
          <w:rFonts w:ascii="Times New Roman" w:hAnsi="Times New Roman" w:cs="Times New Roman"/>
          <w:color w:val="000000"/>
          <w:spacing w:val="4"/>
          <w:sz w:val="24"/>
          <w:szCs w:val="24"/>
        </w:rPr>
        <w:t>В теории активированного комплекса (или теории перех</w:t>
      </w:r>
      <w:r w:rsidRPr="00394589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одного состояния)</w:t>
      </w:r>
      <w:r w:rsidRPr="0039458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94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элементарную реакцию представляют как </w:t>
      </w:r>
      <w:r w:rsidRPr="003945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"мономолекулярный распад активированного комплекса по схеме: </w:t>
      </w:r>
      <w:r w:rsidRPr="0039458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реагенты </w:t>
      </w:r>
      <w:r w:rsidRPr="00394589">
        <w:rPr>
          <w:rFonts w:ascii="Times New Roman" w:hAnsi="Times New Roman" w:cs="Times New Roman"/>
          <w:color w:val="000000"/>
          <w:spacing w:val="-12"/>
          <w:sz w:val="24"/>
          <w:szCs w:val="24"/>
        </w:rPr>
        <w:sym w:font="Symbol" w:char="00AB"/>
      </w:r>
      <w:r w:rsidRPr="0039458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акт.комплекс </w:t>
      </w:r>
      <w:r w:rsidRPr="00394589">
        <w:rPr>
          <w:rFonts w:ascii="Times New Roman" w:hAnsi="Times New Roman" w:cs="Times New Roman"/>
          <w:color w:val="000000"/>
          <w:spacing w:val="-12"/>
          <w:sz w:val="24"/>
          <w:szCs w:val="24"/>
        </w:rPr>
        <w:sym w:font="Symbol" w:char="00AE"/>
      </w:r>
      <w:r w:rsidRPr="0039458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продукты.</w:t>
      </w:r>
    </w:p>
    <w:p w14:paraId="2923D923" w14:textId="77777777" w:rsidR="00E60333" w:rsidRPr="00394589" w:rsidRDefault="00E60333" w:rsidP="00E60333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4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Предполагается, что между реагентами и активированным комплексом </w:t>
      </w:r>
      <w:r w:rsidRPr="00394589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квазиравновесие. </w:t>
      </w:r>
      <w:r w:rsidRPr="0039458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Константу скорости мономолекулярного </w:t>
      </w:r>
      <w:r w:rsidRPr="00394589">
        <w:rPr>
          <w:rFonts w:ascii="Times New Roman" w:hAnsi="Times New Roman" w:cs="Times New Roman"/>
          <w:bCs/>
          <w:color w:val="000000"/>
          <w:spacing w:val="4"/>
          <w:sz w:val="24"/>
          <w:szCs w:val="24"/>
          <w:u w:val="single"/>
        </w:rPr>
        <w:t>распада рассчитывают методами статистической термодинамики</w:t>
      </w:r>
      <w:r w:rsidRPr="0039458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представляя распад как одномерное поступательное </w:t>
      </w:r>
      <w:r w:rsidRPr="0039458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движение комплекса по координате реакции.</w:t>
      </w:r>
    </w:p>
    <w:p w14:paraId="5F4DDC18" w14:textId="77777777" w:rsidR="00E60333" w:rsidRPr="00394589" w:rsidRDefault="00E60333" w:rsidP="00E60333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4589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уравнение теории активированного комплекса наиболее часто встречается, как было установлено ранее,  в общем виде как:</w:t>
      </w:r>
    </w:p>
    <w:p w14:paraId="49017064" w14:textId="77777777" w:rsidR="00E60333" w:rsidRPr="00394589" w:rsidRDefault="00E60333" w:rsidP="00E60333">
      <w:pPr>
        <w:shd w:val="clear" w:color="auto" w:fill="FFFFFF"/>
        <w:jc w:val="center"/>
        <w:rPr>
          <w:sz w:val="24"/>
          <w:szCs w:val="24"/>
        </w:rPr>
      </w:pPr>
      <w:r w:rsidRPr="00394589">
        <w:rPr>
          <w:position w:val="-24"/>
          <w:sz w:val="24"/>
          <w:szCs w:val="24"/>
          <w:lang w:val="en-US"/>
        </w:rPr>
        <w:object w:dxaOrig="1579" w:dyaOrig="620" w14:anchorId="1F8F5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30.6pt" o:ole="">
            <v:imagedata r:id="rId4" o:title=""/>
          </v:shape>
          <o:OLEObject Type="Embed" ProgID="Equation.3" ShapeID="_x0000_i1025" DrawAspect="Content" ObjectID="_1756451992" r:id="rId5"/>
        </w:object>
      </w:r>
      <w:r w:rsidRPr="00394589">
        <w:rPr>
          <w:sz w:val="24"/>
          <w:szCs w:val="24"/>
        </w:rPr>
        <w:t xml:space="preserve"> ,                     (10)</w:t>
      </w:r>
    </w:p>
    <w:p w14:paraId="574186D7" w14:textId="77777777" w:rsidR="00E60333" w:rsidRPr="00394589" w:rsidRDefault="00E60333" w:rsidP="00E60333">
      <w:pPr>
        <w:shd w:val="clear" w:color="auto" w:fill="FFFFFF"/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где </w:t>
      </w:r>
      <w:r w:rsidRPr="00394589">
        <w:rPr>
          <w:sz w:val="24"/>
          <w:szCs w:val="24"/>
          <w:lang w:val="en-US"/>
        </w:rPr>
        <w:t>k</w:t>
      </w:r>
      <w:r w:rsidRPr="00394589">
        <w:rPr>
          <w:sz w:val="24"/>
          <w:szCs w:val="24"/>
          <w:vertAlign w:val="subscript"/>
        </w:rPr>
        <w:t>В</w:t>
      </w:r>
      <w:r w:rsidRPr="00394589">
        <w:rPr>
          <w:sz w:val="24"/>
          <w:szCs w:val="24"/>
        </w:rPr>
        <w:t>=1,38</w:t>
      </w:r>
      <w:r w:rsidRPr="00394589">
        <w:rPr>
          <w:sz w:val="24"/>
          <w:szCs w:val="24"/>
        </w:rPr>
        <w:sym w:font="Symbol" w:char="00D7"/>
      </w:r>
      <w:r w:rsidRPr="00394589">
        <w:rPr>
          <w:sz w:val="24"/>
          <w:szCs w:val="24"/>
        </w:rPr>
        <w:t>10</w:t>
      </w:r>
      <w:r w:rsidRPr="00394589">
        <w:rPr>
          <w:sz w:val="24"/>
          <w:szCs w:val="24"/>
          <w:vertAlign w:val="superscript"/>
        </w:rPr>
        <w:t>-23</w:t>
      </w:r>
      <w:r w:rsidRPr="00394589">
        <w:rPr>
          <w:sz w:val="24"/>
          <w:szCs w:val="24"/>
        </w:rPr>
        <w:t xml:space="preserve"> Дж</w:t>
      </w:r>
      <w:r w:rsidRPr="00394589">
        <w:rPr>
          <w:sz w:val="24"/>
          <w:szCs w:val="24"/>
        </w:rPr>
        <w:sym w:font="Symbol" w:char="00D7"/>
      </w:r>
      <w:r w:rsidRPr="00394589">
        <w:rPr>
          <w:sz w:val="24"/>
          <w:szCs w:val="24"/>
        </w:rPr>
        <w:t>К</w:t>
      </w:r>
      <w:r w:rsidRPr="00394589">
        <w:rPr>
          <w:sz w:val="24"/>
          <w:szCs w:val="24"/>
          <w:vertAlign w:val="superscript"/>
        </w:rPr>
        <w:t>-1</w:t>
      </w:r>
      <w:r w:rsidRPr="00394589">
        <w:rPr>
          <w:sz w:val="24"/>
          <w:szCs w:val="24"/>
        </w:rPr>
        <w:t xml:space="preserve"> – посто</w:t>
      </w:r>
      <w:r w:rsidRPr="00394589">
        <w:rPr>
          <w:color w:val="000000"/>
          <w:sz w:val="24"/>
          <w:szCs w:val="24"/>
        </w:rPr>
        <w:t xml:space="preserve">янная Больцмана, </w:t>
      </w:r>
      <w:r w:rsidRPr="00394589">
        <w:rPr>
          <w:color w:val="000000"/>
          <w:sz w:val="24"/>
          <w:szCs w:val="24"/>
          <w:lang w:val="en-US"/>
        </w:rPr>
        <w:t>h</w:t>
      </w:r>
      <w:r w:rsidRPr="00394589">
        <w:rPr>
          <w:color w:val="000000"/>
          <w:sz w:val="24"/>
          <w:szCs w:val="24"/>
        </w:rPr>
        <w:t>=6,63</w:t>
      </w:r>
      <w:r w:rsidRPr="00394589">
        <w:rPr>
          <w:sz w:val="24"/>
          <w:szCs w:val="24"/>
        </w:rPr>
        <w:sym w:font="Symbol" w:char="00D7"/>
      </w:r>
      <w:r w:rsidRPr="00394589">
        <w:rPr>
          <w:color w:val="000000"/>
          <w:sz w:val="24"/>
          <w:szCs w:val="24"/>
        </w:rPr>
        <w:t>10</w:t>
      </w:r>
      <w:r w:rsidRPr="00394589">
        <w:rPr>
          <w:color w:val="000000"/>
          <w:sz w:val="24"/>
          <w:szCs w:val="24"/>
          <w:vertAlign w:val="superscript"/>
        </w:rPr>
        <w:t>-34</w:t>
      </w:r>
      <w:r w:rsidRPr="00394589">
        <w:rPr>
          <w:color w:val="000000"/>
          <w:sz w:val="24"/>
          <w:szCs w:val="24"/>
        </w:rPr>
        <w:t xml:space="preserve"> Дж</w:t>
      </w:r>
      <w:r w:rsidRPr="00394589">
        <w:rPr>
          <w:sz w:val="24"/>
          <w:szCs w:val="24"/>
        </w:rPr>
        <w:sym w:font="Symbol" w:char="00D7"/>
      </w:r>
      <w:r w:rsidRPr="00394589">
        <w:rPr>
          <w:color w:val="000000"/>
          <w:sz w:val="24"/>
          <w:szCs w:val="24"/>
        </w:rPr>
        <w:t xml:space="preserve">с - постоянная Планка, </w:t>
      </w:r>
      <w:r w:rsidRPr="00394589">
        <w:rPr>
          <w:color w:val="000000"/>
          <w:position w:val="-12"/>
          <w:sz w:val="24"/>
          <w:szCs w:val="24"/>
        </w:rPr>
        <w:object w:dxaOrig="360" w:dyaOrig="380" w14:anchorId="589CC857">
          <v:shape id="_x0000_i1026" type="#_x0000_t75" style="width:18pt;height:18.6pt" o:ole="">
            <v:imagedata r:id="rId6" o:title=""/>
          </v:shape>
          <o:OLEObject Type="Embed" ProgID="Equation.3" ShapeID="_x0000_i1026" DrawAspect="Content" ObjectID="_1756451993" r:id="rId7"/>
        </w:object>
      </w:r>
      <w:r w:rsidRPr="00394589">
        <w:rPr>
          <w:color w:val="000000"/>
          <w:sz w:val="24"/>
          <w:szCs w:val="24"/>
        </w:rPr>
        <w:t xml:space="preserve">- константа равновесия образования активированного </w:t>
      </w:r>
      <w:r w:rsidRPr="00394589">
        <w:rPr>
          <w:color w:val="000000"/>
          <w:spacing w:val="-3"/>
          <w:sz w:val="24"/>
          <w:szCs w:val="24"/>
        </w:rPr>
        <w:t xml:space="preserve">комплекса, выраженная через молярные концентрации (в </w:t>
      </w:r>
      <w:r w:rsidRPr="00394589">
        <w:rPr>
          <w:color w:val="000000"/>
          <w:spacing w:val="-4"/>
          <w:sz w:val="24"/>
          <w:szCs w:val="24"/>
        </w:rPr>
        <w:t>моль</w:t>
      </w:r>
      <w:r w:rsidRPr="00394589">
        <w:rPr>
          <w:sz w:val="24"/>
          <w:szCs w:val="24"/>
        </w:rPr>
        <w:sym w:font="Symbol" w:char="00D7"/>
      </w:r>
      <w:r w:rsidRPr="00394589">
        <w:rPr>
          <w:color w:val="000000"/>
          <w:spacing w:val="-4"/>
          <w:sz w:val="24"/>
          <w:szCs w:val="24"/>
        </w:rPr>
        <w:t>л</w:t>
      </w:r>
      <w:r w:rsidRPr="00394589">
        <w:rPr>
          <w:color w:val="000000"/>
          <w:spacing w:val="-4"/>
          <w:sz w:val="24"/>
          <w:szCs w:val="24"/>
          <w:vertAlign w:val="superscript"/>
        </w:rPr>
        <w:t>-1</w:t>
      </w:r>
      <w:r w:rsidRPr="00394589">
        <w:rPr>
          <w:color w:val="000000"/>
          <w:spacing w:val="-4"/>
          <w:sz w:val="24"/>
          <w:szCs w:val="24"/>
        </w:rPr>
        <w:t xml:space="preserve">). </w:t>
      </w:r>
    </w:p>
    <w:p w14:paraId="07DED022" w14:textId="77777777" w:rsidR="00E60333" w:rsidRPr="00394589" w:rsidRDefault="00E60333" w:rsidP="00E60333">
      <w:pPr>
        <w:shd w:val="clear" w:color="auto" w:fill="FFFFFF"/>
        <w:ind w:firstLine="454"/>
        <w:jc w:val="both"/>
        <w:rPr>
          <w:color w:val="000000"/>
          <w:spacing w:val="-1"/>
          <w:sz w:val="24"/>
          <w:szCs w:val="24"/>
        </w:rPr>
      </w:pPr>
      <w:r w:rsidRPr="00394589">
        <w:rPr>
          <w:color w:val="000000"/>
          <w:spacing w:val="3"/>
          <w:sz w:val="24"/>
          <w:szCs w:val="24"/>
        </w:rPr>
        <w:t>В статистическом подходе константу равновесия выражают чере</w:t>
      </w:r>
      <w:r w:rsidRPr="00394589">
        <w:rPr>
          <w:color w:val="000000"/>
          <w:spacing w:val="-1"/>
          <w:sz w:val="24"/>
          <w:szCs w:val="24"/>
        </w:rPr>
        <w:t>з суммы по состояниям:</w:t>
      </w:r>
    </w:p>
    <w:p w14:paraId="09E35CA8" w14:textId="77777777" w:rsidR="00E60333" w:rsidRPr="00394589" w:rsidRDefault="00E60333" w:rsidP="00E60333">
      <w:pPr>
        <w:shd w:val="clear" w:color="auto" w:fill="FFFFFF"/>
        <w:spacing w:line="216" w:lineRule="auto"/>
        <w:jc w:val="center"/>
        <w:rPr>
          <w:color w:val="000000"/>
          <w:spacing w:val="-1"/>
          <w:sz w:val="24"/>
          <w:szCs w:val="24"/>
        </w:rPr>
      </w:pPr>
      <w:r w:rsidRPr="00394589">
        <w:rPr>
          <w:color w:val="000000"/>
          <w:spacing w:val="-1"/>
          <w:position w:val="-34"/>
          <w:sz w:val="24"/>
          <w:szCs w:val="24"/>
        </w:rPr>
        <w:object w:dxaOrig="2960" w:dyaOrig="780" w14:anchorId="11BE9FD4">
          <v:shape id="_x0000_i1027" type="#_x0000_t75" style="width:147.6pt;height:39pt" o:ole="">
            <v:imagedata r:id="rId8" o:title=""/>
          </v:shape>
          <o:OLEObject Type="Embed" ProgID="Equation.3" ShapeID="_x0000_i1027" DrawAspect="Content" ObjectID="_1756451994" r:id="rId9"/>
        </w:object>
      </w:r>
      <w:r w:rsidRPr="00394589">
        <w:rPr>
          <w:color w:val="000000"/>
          <w:spacing w:val="-1"/>
          <w:sz w:val="24"/>
          <w:szCs w:val="24"/>
        </w:rPr>
        <w:t>,                  (11)</w:t>
      </w:r>
    </w:p>
    <w:p w14:paraId="72664443" w14:textId="77777777" w:rsidR="00E60333" w:rsidRPr="00394589" w:rsidRDefault="00E60333" w:rsidP="00E60333">
      <w:pPr>
        <w:shd w:val="clear" w:color="auto" w:fill="FFFFFF"/>
        <w:jc w:val="both"/>
        <w:rPr>
          <w:sz w:val="24"/>
          <w:szCs w:val="24"/>
        </w:rPr>
      </w:pPr>
      <w:r w:rsidRPr="00394589">
        <w:rPr>
          <w:color w:val="000000"/>
          <w:spacing w:val="4"/>
          <w:sz w:val="24"/>
          <w:szCs w:val="24"/>
        </w:rPr>
        <w:t xml:space="preserve">где </w:t>
      </w:r>
      <w:r w:rsidRPr="00394589">
        <w:rPr>
          <w:color w:val="000000"/>
          <w:spacing w:val="4"/>
          <w:sz w:val="24"/>
          <w:szCs w:val="24"/>
          <w:lang w:val="en-US"/>
        </w:rPr>
        <w:t>Q</w:t>
      </w:r>
      <w:r w:rsidRPr="00394589">
        <w:rPr>
          <w:color w:val="000000"/>
          <w:spacing w:val="4"/>
          <w:sz w:val="24"/>
          <w:szCs w:val="24"/>
          <w:vertAlign w:val="superscript"/>
          <w:lang w:val="en-US"/>
        </w:rPr>
        <w:sym w:font="Symbol" w:char="00B9"/>
      </w:r>
      <w:r w:rsidRPr="00394589">
        <w:rPr>
          <w:color w:val="000000"/>
          <w:spacing w:val="4"/>
          <w:sz w:val="24"/>
          <w:szCs w:val="24"/>
        </w:rPr>
        <w:t xml:space="preserve"> - полная сумма по состояниям активированного комплекса, </w:t>
      </w:r>
      <w:r w:rsidRPr="00394589">
        <w:rPr>
          <w:color w:val="000000"/>
          <w:spacing w:val="4"/>
          <w:sz w:val="24"/>
          <w:szCs w:val="24"/>
          <w:lang w:val="en-US"/>
        </w:rPr>
        <w:t>Q</w:t>
      </w:r>
      <w:r w:rsidRPr="00394589">
        <w:rPr>
          <w:color w:val="000000"/>
          <w:spacing w:val="6"/>
          <w:sz w:val="24"/>
          <w:szCs w:val="24"/>
          <w:vertAlign w:val="subscript"/>
          <w:lang w:val="en-US"/>
        </w:rPr>
        <w:t>pear</w:t>
      </w:r>
      <w:r w:rsidRPr="00394589">
        <w:rPr>
          <w:color w:val="000000"/>
          <w:spacing w:val="6"/>
          <w:sz w:val="24"/>
          <w:szCs w:val="24"/>
        </w:rPr>
        <w:t xml:space="preserve"> - произведение полных сумм по состояниям реагентов, </w:t>
      </w:r>
      <w:r w:rsidRPr="00394589">
        <w:rPr>
          <w:color w:val="000000"/>
          <w:spacing w:val="6"/>
          <w:position w:val="-12"/>
          <w:sz w:val="24"/>
          <w:szCs w:val="24"/>
        </w:rPr>
        <w:object w:dxaOrig="340" w:dyaOrig="380" w14:anchorId="590642E8">
          <v:shape id="_x0000_i1028" type="#_x0000_t75" style="width:17.4pt;height:18.6pt" o:ole="">
            <v:imagedata r:id="rId10" o:title=""/>
          </v:shape>
          <o:OLEObject Type="Embed" ProgID="Equation.3" ShapeID="_x0000_i1028" DrawAspect="Content" ObjectID="_1756451995" r:id="rId11"/>
        </w:object>
      </w:r>
      <w:r w:rsidRPr="00394589">
        <w:rPr>
          <w:color w:val="000000"/>
          <w:spacing w:val="-1"/>
          <w:sz w:val="24"/>
          <w:szCs w:val="24"/>
        </w:rPr>
        <w:t xml:space="preserve"> - энергия активации при абсолютном нуле, Т</w:t>
      </w:r>
      <w:r w:rsidRPr="00394589">
        <w:rPr>
          <w:i/>
          <w:iCs/>
          <w:color w:val="000000"/>
          <w:spacing w:val="-1"/>
          <w:sz w:val="24"/>
          <w:szCs w:val="24"/>
        </w:rPr>
        <w:t>=</w:t>
      </w:r>
      <w:r w:rsidRPr="00394589">
        <w:rPr>
          <w:color w:val="000000"/>
          <w:spacing w:val="-1"/>
          <w:sz w:val="24"/>
          <w:szCs w:val="24"/>
        </w:rPr>
        <w:t>0.</w:t>
      </w:r>
    </w:p>
    <w:p w14:paraId="5855B720" w14:textId="77777777" w:rsidR="00E60333" w:rsidRPr="00394589" w:rsidRDefault="00E60333" w:rsidP="00E60333">
      <w:pPr>
        <w:shd w:val="clear" w:color="auto" w:fill="FFFFFF"/>
        <w:ind w:firstLine="454"/>
        <w:jc w:val="both"/>
        <w:rPr>
          <w:color w:val="000000"/>
          <w:sz w:val="24"/>
          <w:szCs w:val="24"/>
        </w:rPr>
      </w:pPr>
      <w:r w:rsidRPr="00394589">
        <w:rPr>
          <w:color w:val="000000"/>
          <w:spacing w:val="1"/>
          <w:sz w:val="24"/>
          <w:szCs w:val="24"/>
        </w:rPr>
        <w:t>Полные суммы по состояниям обычно разлагают на сомножители, соответствующие отдельным видам движения молекул: поступате</w:t>
      </w:r>
      <w:r w:rsidRPr="00394589">
        <w:rPr>
          <w:color w:val="000000"/>
          <w:sz w:val="24"/>
          <w:szCs w:val="24"/>
        </w:rPr>
        <w:t>льному, электронному, вращательному и колебательному:</w:t>
      </w:r>
    </w:p>
    <w:p w14:paraId="70FE6F79" w14:textId="77777777" w:rsidR="00E60333" w:rsidRPr="00394589" w:rsidRDefault="00E60333" w:rsidP="00E60333">
      <w:pPr>
        <w:pStyle w:val="6"/>
        <w:ind w:firstLine="454"/>
        <w:jc w:val="center"/>
        <w:rPr>
          <w:color w:val="000000"/>
          <w:sz w:val="24"/>
          <w:szCs w:val="24"/>
        </w:rPr>
      </w:pPr>
      <w:r w:rsidRPr="00394589">
        <w:rPr>
          <w:sz w:val="24"/>
          <w:szCs w:val="24"/>
        </w:rPr>
        <w:t>Термодинамический аспект теории активированного комплекса</w:t>
      </w:r>
    </w:p>
    <w:p w14:paraId="6C0776CE" w14:textId="77777777" w:rsidR="00E60333" w:rsidRPr="00394589" w:rsidRDefault="00E60333" w:rsidP="00E60333">
      <w:pPr>
        <w:shd w:val="clear" w:color="auto" w:fill="FFFFFF"/>
        <w:ind w:firstLine="454"/>
        <w:jc w:val="both"/>
        <w:rPr>
          <w:color w:val="000000"/>
          <w:spacing w:val="-13"/>
          <w:sz w:val="24"/>
          <w:szCs w:val="24"/>
        </w:rPr>
      </w:pPr>
      <w:r w:rsidRPr="00394589">
        <w:rPr>
          <w:color w:val="000000"/>
          <w:spacing w:val="-1"/>
          <w:sz w:val="24"/>
          <w:szCs w:val="24"/>
        </w:rPr>
        <w:t xml:space="preserve">В </w:t>
      </w:r>
      <w:r w:rsidRPr="00394589">
        <w:rPr>
          <w:bCs/>
          <w:iCs/>
          <w:color w:val="000000"/>
          <w:spacing w:val="-1"/>
          <w:sz w:val="24"/>
          <w:szCs w:val="24"/>
          <w:u w:val="single"/>
        </w:rPr>
        <w:t>термодинамическом</w:t>
      </w:r>
      <w:r w:rsidRPr="00394589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394589">
        <w:rPr>
          <w:color w:val="000000"/>
          <w:spacing w:val="-1"/>
          <w:sz w:val="24"/>
          <w:szCs w:val="24"/>
        </w:rPr>
        <w:t xml:space="preserve">подходе константу равновесия выражают </w:t>
      </w:r>
      <w:r w:rsidRPr="00394589">
        <w:rPr>
          <w:color w:val="000000"/>
          <w:sz w:val="24"/>
          <w:szCs w:val="24"/>
        </w:rPr>
        <w:t>через разность термодинамических функций активированного комплекса и исходных веществ. Для этого константу равновесия, выраженн</w:t>
      </w:r>
      <w:r w:rsidRPr="00394589">
        <w:rPr>
          <w:color w:val="000000"/>
          <w:spacing w:val="5"/>
          <w:sz w:val="24"/>
          <w:szCs w:val="24"/>
        </w:rPr>
        <w:t xml:space="preserve">ую через концентрации, переводят в константу, выраженную </w:t>
      </w:r>
      <w:r w:rsidRPr="00394589">
        <w:rPr>
          <w:color w:val="000000"/>
          <w:spacing w:val="1"/>
          <w:sz w:val="24"/>
          <w:szCs w:val="24"/>
        </w:rPr>
        <w:t>через давления. Последняя константа, как известно, связана с изменением</w:t>
      </w:r>
      <w:r w:rsidRPr="00394589">
        <w:rPr>
          <w:color w:val="000000"/>
          <w:sz w:val="24"/>
          <w:szCs w:val="24"/>
        </w:rPr>
        <w:t xml:space="preserve"> </w:t>
      </w:r>
      <w:r w:rsidRPr="00394589">
        <w:rPr>
          <w:color w:val="000000"/>
          <w:spacing w:val="1"/>
          <w:sz w:val="24"/>
          <w:szCs w:val="24"/>
        </w:rPr>
        <w:t xml:space="preserve">энергии Гиббса в реакции образования активированного </w:t>
      </w:r>
      <w:r w:rsidRPr="00394589">
        <w:rPr>
          <w:color w:val="000000"/>
          <w:spacing w:val="-13"/>
          <w:sz w:val="24"/>
          <w:szCs w:val="24"/>
        </w:rPr>
        <w:t>комплекса:</w:t>
      </w:r>
    </w:p>
    <w:p w14:paraId="7565B4CB" w14:textId="77777777" w:rsidR="00E60333" w:rsidRPr="00394589" w:rsidRDefault="00E60333" w:rsidP="00E60333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  <w:r w:rsidRPr="00394589">
        <w:rPr>
          <w:color w:val="000000"/>
          <w:spacing w:val="-13"/>
          <w:sz w:val="24"/>
          <w:szCs w:val="24"/>
        </w:rPr>
        <w:t xml:space="preserve">                                                                                   </w:t>
      </w:r>
      <w:r w:rsidRPr="00394589">
        <w:rPr>
          <w:color w:val="000000"/>
          <w:spacing w:val="-13"/>
          <w:position w:val="-32"/>
          <w:sz w:val="24"/>
          <w:szCs w:val="24"/>
        </w:rPr>
        <w:object w:dxaOrig="1880" w:dyaOrig="760" w14:anchorId="7F4774BA">
          <v:shape id="_x0000_i1033" type="#_x0000_t75" style="width:93.6pt;height:38.4pt" o:ole="">
            <v:imagedata r:id="rId12" o:title=""/>
          </v:shape>
          <o:OLEObject Type="Embed" ProgID="Equation.3" ShapeID="_x0000_i1033" DrawAspect="Content" ObjectID="_1756451996" r:id="rId13"/>
        </w:object>
      </w:r>
      <w:r w:rsidRPr="00394589">
        <w:rPr>
          <w:color w:val="000000"/>
          <w:spacing w:val="-13"/>
          <w:sz w:val="24"/>
          <w:szCs w:val="24"/>
        </w:rPr>
        <w:t>,             (17)</w:t>
      </w:r>
    </w:p>
    <w:p w14:paraId="59D5C89B" w14:textId="77777777" w:rsidR="00E60333" w:rsidRPr="00394589" w:rsidRDefault="00E60333" w:rsidP="00E60333">
      <w:pPr>
        <w:shd w:val="clear" w:color="auto" w:fill="FFFFFF"/>
        <w:ind w:firstLine="454"/>
        <w:jc w:val="both"/>
        <w:rPr>
          <w:sz w:val="24"/>
          <w:szCs w:val="24"/>
        </w:rPr>
      </w:pPr>
      <w:r w:rsidRPr="00394589">
        <w:rPr>
          <w:color w:val="000000"/>
          <w:spacing w:val="2"/>
          <w:sz w:val="24"/>
          <w:szCs w:val="24"/>
        </w:rPr>
        <w:lastRenderedPageBreak/>
        <w:t>Для мономолекулярной реакции, в которой образование активированного</w:t>
      </w:r>
      <w:r w:rsidRPr="00394589">
        <w:rPr>
          <w:color w:val="000000"/>
          <w:spacing w:val="3"/>
          <w:sz w:val="24"/>
          <w:szCs w:val="24"/>
        </w:rPr>
        <w:t xml:space="preserve">  комплекса  происходит  без  изменения  числа  частиц, </w:t>
      </w:r>
      <w:r w:rsidRPr="00394589">
        <w:rPr>
          <w:color w:val="000000"/>
          <w:spacing w:val="3"/>
          <w:position w:val="-12"/>
          <w:sz w:val="24"/>
          <w:szCs w:val="24"/>
        </w:rPr>
        <w:object w:dxaOrig="940" w:dyaOrig="380" w14:anchorId="73560006">
          <v:shape id="_x0000_i1034" type="#_x0000_t75" style="width:47.4pt;height:18.6pt" o:ole="">
            <v:imagedata r:id="rId14" o:title=""/>
          </v:shape>
          <o:OLEObject Type="Embed" ProgID="Equation.3" ShapeID="_x0000_i1034" DrawAspect="Content" ObjectID="_1756451997" r:id="rId15"/>
        </w:object>
      </w:r>
      <w:r w:rsidRPr="00394589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394589">
        <w:rPr>
          <w:color w:val="000000"/>
          <w:spacing w:val="1"/>
          <w:sz w:val="24"/>
          <w:szCs w:val="24"/>
        </w:rPr>
        <w:t>и константа скорости выражается следующим образом:</w:t>
      </w:r>
    </w:p>
    <w:p w14:paraId="797DBBB2" w14:textId="77777777" w:rsidR="00E60333" w:rsidRPr="00394589" w:rsidRDefault="00E60333" w:rsidP="00E60333">
      <w:pPr>
        <w:shd w:val="clear" w:color="auto" w:fill="FFFFFF"/>
        <w:jc w:val="both"/>
        <w:rPr>
          <w:color w:val="000000"/>
          <w:sz w:val="24"/>
          <w:szCs w:val="24"/>
        </w:rPr>
      </w:pPr>
      <w:r w:rsidRPr="00394589">
        <w:rPr>
          <w:color w:val="000000"/>
          <w:sz w:val="24"/>
          <w:szCs w:val="24"/>
        </w:rPr>
        <w:t xml:space="preserve">                                </w:t>
      </w:r>
      <w:r w:rsidRPr="00394589">
        <w:rPr>
          <w:color w:val="000000"/>
          <w:position w:val="-32"/>
          <w:sz w:val="24"/>
          <w:szCs w:val="24"/>
        </w:rPr>
        <w:object w:dxaOrig="5760" w:dyaOrig="760" w14:anchorId="454BDB25">
          <v:shape id="_x0000_i1035" type="#_x0000_t75" style="width:4in;height:38.4pt" o:ole="">
            <v:imagedata r:id="rId16" o:title=""/>
          </v:shape>
          <o:OLEObject Type="Embed" ProgID="Equation.3" ShapeID="_x0000_i1035" DrawAspect="Content" ObjectID="_1756451998" r:id="rId17"/>
        </w:object>
      </w:r>
      <w:r w:rsidRPr="00394589">
        <w:rPr>
          <w:color w:val="000000"/>
          <w:sz w:val="24"/>
          <w:szCs w:val="24"/>
        </w:rPr>
        <w:t>,   (18)</w:t>
      </w:r>
    </w:p>
    <w:p w14:paraId="67969040" w14:textId="77777777" w:rsidR="00E60333" w:rsidRPr="00394589" w:rsidRDefault="00E60333" w:rsidP="00E60333">
      <w:pPr>
        <w:shd w:val="clear" w:color="auto" w:fill="FFFFFF"/>
        <w:ind w:firstLine="454"/>
        <w:jc w:val="both"/>
        <w:rPr>
          <w:color w:val="000000"/>
          <w:sz w:val="24"/>
          <w:szCs w:val="24"/>
        </w:rPr>
      </w:pPr>
      <w:r w:rsidRPr="00394589">
        <w:rPr>
          <w:color w:val="000000"/>
          <w:sz w:val="24"/>
          <w:szCs w:val="24"/>
        </w:rPr>
        <w:t xml:space="preserve">Энтропийный  множитель   </w:t>
      </w:r>
      <w:r w:rsidRPr="00394589">
        <w:rPr>
          <w:color w:val="000000"/>
          <w:position w:val="-32"/>
          <w:sz w:val="24"/>
          <w:szCs w:val="24"/>
        </w:rPr>
        <w:object w:dxaOrig="1080" w:dyaOrig="760" w14:anchorId="0A22E2C0">
          <v:shape id="_x0000_i1036" type="#_x0000_t75" style="width:54pt;height:38.4pt" o:ole="">
            <v:imagedata r:id="rId18" o:title=""/>
          </v:shape>
          <o:OLEObject Type="Embed" ProgID="Equation.3" ShapeID="_x0000_i1036" DrawAspect="Content" ObjectID="_1756451999" r:id="rId19"/>
        </w:object>
      </w:r>
      <w:r w:rsidRPr="00394589">
        <w:rPr>
          <w:color w:val="000000"/>
          <w:sz w:val="24"/>
          <w:szCs w:val="24"/>
        </w:rPr>
        <w:t xml:space="preserve"> иногда интерпретируют как стерический множитель </w:t>
      </w:r>
      <w:r w:rsidRPr="00394589">
        <w:rPr>
          <w:i/>
          <w:iCs/>
          <w:color w:val="000000"/>
          <w:sz w:val="24"/>
          <w:szCs w:val="24"/>
        </w:rPr>
        <w:t xml:space="preserve">Р </w:t>
      </w:r>
      <w:r w:rsidRPr="00394589">
        <w:rPr>
          <w:color w:val="000000"/>
          <w:sz w:val="24"/>
          <w:szCs w:val="24"/>
        </w:rPr>
        <w:t xml:space="preserve">из теории активных столкновений. </w:t>
      </w:r>
    </w:p>
    <w:p w14:paraId="1628D95E" w14:textId="77777777" w:rsidR="00E60333" w:rsidRPr="00394589" w:rsidRDefault="00E60333" w:rsidP="00E60333">
      <w:pPr>
        <w:pStyle w:val="6"/>
        <w:ind w:firstLine="454"/>
        <w:jc w:val="center"/>
        <w:rPr>
          <w:color w:val="000000"/>
          <w:sz w:val="24"/>
          <w:szCs w:val="24"/>
        </w:rPr>
      </w:pPr>
      <w:r w:rsidRPr="00394589">
        <w:rPr>
          <w:sz w:val="24"/>
          <w:szCs w:val="24"/>
        </w:rPr>
        <w:t>Уравнения для константы скорости бимолекулярной реакции в газовой фазе</w:t>
      </w:r>
    </w:p>
    <w:p w14:paraId="3827B720" w14:textId="77777777" w:rsidR="00E60333" w:rsidRPr="00394589" w:rsidRDefault="00E60333" w:rsidP="00E60333">
      <w:pPr>
        <w:shd w:val="clear" w:color="auto" w:fill="FFFFFF"/>
        <w:ind w:firstLine="454"/>
        <w:jc w:val="both"/>
        <w:rPr>
          <w:sz w:val="24"/>
          <w:szCs w:val="24"/>
        </w:rPr>
      </w:pPr>
      <w:r w:rsidRPr="00394589">
        <w:rPr>
          <w:color w:val="000000"/>
          <w:spacing w:val="5"/>
          <w:sz w:val="24"/>
          <w:szCs w:val="24"/>
        </w:rPr>
        <w:t xml:space="preserve">Для бимолекулярной реакции, протекающей в газовой фазе, в эту </w:t>
      </w:r>
      <w:r w:rsidRPr="00394589">
        <w:rPr>
          <w:color w:val="000000"/>
          <w:spacing w:val="3"/>
          <w:sz w:val="24"/>
          <w:szCs w:val="24"/>
        </w:rPr>
        <w:t xml:space="preserve">формулу добавляется множитель </w:t>
      </w:r>
      <w:r w:rsidRPr="00394589">
        <w:rPr>
          <w:color w:val="000000"/>
          <w:spacing w:val="3"/>
          <w:sz w:val="24"/>
          <w:szCs w:val="24"/>
          <w:lang w:val="en-US"/>
        </w:rPr>
        <w:t>RT</w:t>
      </w:r>
      <w:r w:rsidRPr="00394589">
        <w:rPr>
          <w:color w:val="000000"/>
          <w:spacing w:val="3"/>
          <w:sz w:val="24"/>
          <w:szCs w:val="24"/>
        </w:rPr>
        <w:t>/</w:t>
      </w:r>
      <w:r w:rsidRPr="00394589">
        <w:rPr>
          <w:color w:val="000000"/>
          <w:spacing w:val="3"/>
          <w:sz w:val="24"/>
          <w:szCs w:val="24"/>
          <w:lang w:val="en-US"/>
        </w:rPr>
        <w:t>p</w:t>
      </w:r>
      <w:r w:rsidRPr="00394589">
        <w:rPr>
          <w:color w:val="000000"/>
          <w:spacing w:val="3"/>
          <w:sz w:val="24"/>
          <w:szCs w:val="24"/>
          <w:vertAlign w:val="superscript"/>
        </w:rPr>
        <w:t>0</w:t>
      </w:r>
      <w:r w:rsidRPr="00394589">
        <w:rPr>
          <w:color w:val="000000"/>
          <w:spacing w:val="3"/>
          <w:sz w:val="24"/>
          <w:szCs w:val="24"/>
        </w:rPr>
        <w:t xml:space="preserve"> (где </w:t>
      </w:r>
      <w:r w:rsidRPr="00394589">
        <w:rPr>
          <w:color w:val="000000"/>
          <w:spacing w:val="3"/>
          <w:sz w:val="24"/>
          <w:szCs w:val="24"/>
          <w:lang w:val="en-US"/>
        </w:rPr>
        <w:t>p</w:t>
      </w:r>
      <w:r w:rsidRPr="00394589">
        <w:rPr>
          <w:color w:val="000000"/>
          <w:spacing w:val="3"/>
          <w:sz w:val="24"/>
          <w:szCs w:val="24"/>
          <w:vertAlign w:val="superscript"/>
        </w:rPr>
        <w:t>0</w:t>
      </w:r>
      <w:r w:rsidRPr="00394589">
        <w:rPr>
          <w:color w:val="000000"/>
          <w:spacing w:val="3"/>
          <w:sz w:val="24"/>
          <w:szCs w:val="24"/>
        </w:rPr>
        <w:t xml:space="preserve"> = 1 бар = 100 кПа), </w:t>
      </w:r>
      <w:r w:rsidRPr="00394589">
        <w:rPr>
          <w:color w:val="000000"/>
          <w:spacing w:val="5"/>
          <w:sz w:val="24"/>
          <w:szCs w:val="24"/>
        </w:rPr>
        <w:t xml:space="preserve">который нужен для перехода от </w:t>
      </w:r>
      <w:r w:rsidRPr="00394589">
        <w:rPr>
          <w:color w:val="000000"/>
          <w:spacing w:val="3"/>
          <w:position w:val="-12"/>
          <w:sz w:val="24"/>
          <w:szCs w:val="24"/>
        </w:rPr>
        <w:object w:dxaOrig="360" w:dyaOrig="380" w14:anchorId="77619E16">
          <v:shape id="_x0000_i1037" type="#_x0000_t75" style="width:18pt;height:18.6pt" o:ole="">
            <v:imagedata r:id="rId20" o:title=""/>
          </v:shape>
          <o:OLEObject Type="Embed" ProgID="Equation.3" ShapeID="_x0000_i1037" DrawAspect="Content" ObjectID="_1756452000" r:id="rId21"/>
        </w:object>
      </w:r>
      <w:r w:rsidRPr="00394589">
        <w:rPr>
          <w:color w:val="000000"/>
          <w:spacing w:val="3"/>
          <w:sz w:val="24"/>
          <w:szCs w:val="24"/>
        </w:rPr>
        <w:t xml:space="preserve">  к  </w:t>
      </w:r>
      <w:r w:rsidRPr="00394589">
        <w:rPr>
          <w:color w:val="000000"/>
          <w:spacing w:val="3"/>
          <w:position w:val="-10"/>
          <w:sz w:val="24"/>
          <w:szCs w:val="24"/>
        </w:rPr>
        <w:object w:dxaOrig="360" w:dyaOrig="360" w14:anchorId="76FAB6FD">
          <v:shape id="_x0000_i1038" type="#_x0000_t75" style="width:18pt;height:18pt" o:ole="">
            <v:imagedata r:id="rId22" o:title=""/>
          </v:shape>
          <o:OLEObject Type="Embed" ProgID="Equation.3" ShapeID="_x0000_i1038" DrawAspect="Content" ObjectID="_1756452001" r:id="rId23"/>
        </w:object>
      </w:r>
      <w:r w:rsidRPr="00394589">
        <w:rPr>
          <w:i/>
          <w:iCs/>
          <w:color w:val="000000"/>
          <w:spacing w:val="5"/>
          <w:sz w:val="24"/>
          <w:szCs w:val="24"/>
        </w:rPr>
        <w:t>:</w:t>
      </w:r>
    </w:p>
    <w:p w14:paraId="66A92781" w14:textId="77777777" w:rsidR="00E60333" w:rsidRPr="00394589" w:rsidRDefault="00E60333" w:rsidP="00E60333">
      <w:pPr>
        <w:shd w:val="clear" w:color="auto" w:fill="FFFFFF"/>
        <w:jc w:val="both"/>
        <w:rPr>
          <w:b/>
          <w:bCs/>
          <w:color w:val="000000"/>
          <w:spacing w:val="3"/>
          <w:sz w:val="24"/>
          <w:szCs w:val="24"/>
        </w:rPr>
      </w:pPr>
      <w:r w:rsidRPr="00394589">
        <w:rPr>
          <w:color w:val="000000"/>
          <w:sz w:val="24"/>
          <w:szCs w:val="24"/>
        </w:rPr>
        <w:t xml:space="preserve">                      </w:t>
      </w:r>
      <w:r w:rsidRPr="00394589">
        <w:rPr>
          <w:color w:val="000000"/>
          <w:position w:val="-32"/>
          <w:sz w:val="24"/>
          <w:szCs w:val="24"/>
        </w:rPr>
        <w:object w:dxaOrig="6720" w:dyaOrig="760" w14:anchorId="0B4AF1A3">
          <v:shape id="_x0000_i1039" type="#_x0000_t75" style="width:336pt;height:38.4pt" o:ole="">
            <v:imagedata r:id="rId24" o:title=""/>
          </v:shape>
          <o:OLEObject Type="Embed" ProgID="Equation.3" ShapeID="_x0000_i1039" DrawAspect="Content" ObjectID="_1756452002" r:id="rId25"/>
        </w:object>
      </w:r>
      <w:r w:rsidRPr="00394589">
        <w:rPr>
          <w:color w:val="000000"/>
          <w:sz w:val="24"/>
          <w:szCs w:val="24"/>
        </w:rPr>
        <w:t xml:space="preserve">,   (19) </w:t>
      </w:r>
    </w:p>
    <w:p w14:paraId="025D7AC0" w14:textId="77777777" w:rsidR="00E60333" w:rsidRPr="00394589" w:rsidRDefault="00E60333" w:rsidP="00E60333">
      <w:pPr>
        <w:pStyle w:val="3"/>
        <w:rPr>
          <w:sz w:val="24"/>
        </w:rPr>
      </w:pPr>
      <w:r w:rsidRPr="00394589">
        <w:rPr>
          <w:sz w:val="24"/>
        </w:rPr>
        <w:t>Уравнения для константы скорости бимолекулярной реакции в растворе</w:t>
      </w:r>
    </w:p>
    <w:p w14:paraId="573AC707" w14:textId="77777777" w:rsidR="00E60333" w:rsidRPr="00394589" w:rsidRDefault="00E60333" w:rsidP="00E60333">
      <w:pPr>
        <w:shd w:val="clear" w:color="auto" w:fill="FFFFFF"/>
        <w:ind w:firstLine="454"/>
        <w:jc w:val="both"/>
        <w:rPr>
          <w:sz w:val="24"/>
          <w:szCs w:val="24"/>
        </w:rPr>
      </w:pPr>
      <w:r w:rsidRPr="00394589">
        <w:rPr>
          <w:color w:val="000000"/>
          <w:spacing w:val="2"/>
          <w:sz w:val="24"/>
          <w:szCs w:val="24"/>
        </w:rPr>
        <w:t xml:space="preserve">Для бимолекулярной реакции в растворе константу равновесия </w:t>
      </w:r>
      <w:r w:rsidRPr="00394589">
        <w:rPr>
          <w:color w:val="000000"/>
          <w:spacing w:val="3"/>
          <w:position w:val="-12"/>
          <w:sz w:val="24"/>
          <w:szCs w:val="24"/>
        </w:rPr>
        <w:object w:dxaOrig="360" w:dyaOrig="380" w14:anchorId="5524B914">
          <v:shape id="_x0000_i1040" type="#_x0000_t75" style="width:18pt;height:18.6pt" o:ole="">
            <v:imagedata r:id="rId20" o:title=""/>
          </v:shape>
          <o:OLEObject Type="Embed" ProgID="Equation.3" ShapeID="_x0000_i1040" DrawAspect="Content" ObjectID="_1756452003" r:id="rId26"/>
        </w:object>
      </w:r>
      <w:r w:rsidRPr="00394589">
        <w:rPr>
          <w:color w:val="000000"/>
          <w:spacing w:val="3"/>
          <w:sz w:val="24"/>
          <w:szCs w:val="24"/>
        </w:rPr>
        <w:t xml:space="preserve"> </w:t>
      </w:r>
      <w:r w:rsidRPr="00394589">
        <w:rPr>
          <w:color w:val="000000"/>
          <w:spacing w:val="1"/>
          <w:sz w:val="24"/>
          <w:szCs w:val="24"/>
        </w:rPr>
        <w:t>выражают через энергию Гельмгольца образования активирова</w:t>
      </w:r>
      <w:r w:rsidRPr="00394589">
        <w:rPr>
          <w:color w:val="000000"/>
          <w:spacing w:val="-3"/>
          <w:sz w:val="24"/>
          <w:szCs w:val="24"/>
        </w:rPr>
        <w:t>нного комплекса:</w:t>
      </w:r>
    </w:p>
    <w:p w14:paraId="04F248FE" w14:textId="77777777" w:rsidR="00E60333" w:rsidRPr="00394589" w:rsidRDefault="00E60333" w:rsidP="00E60333">
      <w:pPr>
        <w:jc w:val="center"/>
        <w:rPr>
          <w:color w:val="000000"/>
          <w:sz w:val="24"/>
          <w:szCs w:val="24"/>
        </w:rPr>
      </w:pPr>
      <w:r w:rsidRPr="00394589">
        <w:rPr>
          <w:color w:val="000000"/>
          <w:position w:val="-32"/>
          <w:sz w:val="24"/>
          <w:szCs w:val="24"/>
        </w:rPr>
        <w:object w:dxaOrig="5740" w:dyaOrig="760" w14:anchorId="7CDD1D50">
          <v:shape id="_x0000_i1041" type="#_x0000_t75" style="width:287.4pt;height:38.4pt" o:ole="">
            <v:imagedata r:id="rId27" o:title=""/>
          </v:shape>
          <o:OLEObject Type="Embed" ProgID="Equation.3" ShapeID="_x0000_i1041" DrawAspect="Content" ObjectID="_1756452004" r:id="rId28"/>
        </w:object>
      </w:r>
      <w:r w:rsidRPr="00394589">
        <w:rPr>
          <w:color w:val="000000"/>
          <w:sz w:val="24"/>
          <w:szCs w:val="24"/>
        </w:rPr>
        <w:t>,              (20)</w:t>
      </w:r>
    </w:p>
    <w:p w14:paraId="5DE6DC8A" w14:textId="77777777" w:rsidR="00E60333" w:rsidRPr="00394589" w:rsidRDefault="00E60333" w:rsidP="00E60333">
      <w:pPr>
        <w:pStyle w:val="8"/>
        <w:ind w:firstLine="454"/>
        <w:jc w:val="center"/>
        <w:rPr>
          <w:b/>
          <w:bCs/>
          <w:i w:val="0"/>
          <w:iCs w:val="0"/>
          <w:color w:val="000000"/>
        </w:rPr>
      </w:pPr>
      <w:r w:rsidRPr="00394589">
        <w:rPr>
          <w:b/>
          <w:bCs/>
          <w:i w:val="0"/>
          <w:iCs w:val="0"/>
        </w:rPr>
        <w:t>Уравнение для константы скорости моно- и бимолекулярных реакций в общем виде</w:t>
      </w:r>
    </w:p>
    <w:p w14:paraId="7CA770AC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sz w:val="24"/>
        </w:rPr>
      </w:pPr>
      <w:r w:rsidRPr="00394589">
        <w:rPr>
          <w:b w:val="0"/>
          <w:bCs w:val="0"/>
          <w:sz w:val="24"/>
        </w:rPr>
        <w:t xml:space="preserve"> Для мономолекулярной реакции в растворах Е</w:t>
      </w:r>
      <w:r w:rsidRPr="00394589">
        <w:rPr>
          <w:b w:val="0"/>
          <w:bCs w:val="0"/>
          <w:sz w:val="24"/>
          <w:vertAlign w:val="subscript"/>
        </w:rPr>
        <w:t>а</w:t>
      </w:r>
      <w:r w:rsidRPr="00394589">
        <w:rPr>
          <w:b w:val="0"/>
          <w:bCs w:val="0"/>
          <w:sz w:val="24"/>
        </w:rPr>
        <w:t>=</w:t>
      </w:r>
      <w:r w:rsidRPr="00394589">
        <w:rPr>
          <w:b w:val="0"/>
          <w:bCs w:val="0"/>
          <w:sz w:val="24"/>
        </w:rPr>
        <w:sym w:font="Symbol" w:char="0044"/>
      </w:r>
      <w:r w:rsidRPr="00394589">
        <w:rPr>
          <w:b w:val="0"/>
          <w:bCs w:val="0"/>
          <w:sz w:val="24"/>
        </w:rPr>
        <w:sym w:font="Symbol" w:char="0048"/>
      </w:r>
      <w:r w:rsidRPr="00394589">
        <w:rPr>
          <w:b w:val="0"/>
          <w:bCs w:val="0"/>
          <w:sz w:val="24"/>
          <w:vertAlign w:val="superscript"/>
        </w:rPr>
        <w:t>*</w:t>
      </w:r>
      <w:r w:rsidRPr="00394589">
        <w:rPr>
          <w:b w:val="0"/>
          <w:bCs w:val="0"/>
          <w:sz w:val="24"/>
        </w:rPr>
        <w:t>+</w:t>
      </w:r>
      <w:r w:rsidRPr="00394589">
        <w:rPr>
          <w:b w:val="0"/>
          <w:bCs w:val="0"/>
          <w:sz w:val="24"/>
          <w:lang w:val="en-US"/>
        </w:rPr>
        <w:t>RT</w:t>
      </w:r>
      <w:r w:rsidRPr="00394589">
        <w:rPr>
          <w:b w:val="0"/>
          <w:bCs w:val="0"/>
          <w:sz w:val="24"/>
        </w:rPr>
        <w:t>, для бимолекулярной Е</w:t>
      </w:r>
      <w:r w:rsidRPr="00394589">
        <w:rPr>
          <w:b w:val="0"/>
          <w:bCs w:val="0"/>
          <w:sz w:val="24"/>
          <w:vertAlign w:val="subscript"/>
        </w:rPr>
        <w:t>а</w:t>
      </w:r>
      <w:r w:rsidRPr="00394589">
        <w:rPr>
          <w:b w:val="0"/>
          <w:bCs w:val="0"/>
          <w:sz w:val="24"/>
        </w:rPr>
        <w:t>=</w:t>
      </w:r>
      <w:r w:rsidRPr="00394589">
        <w:rPr>
          <w:b w:val="0"/>
          <w:bCs w:val="0"/>
          <w:sz w:val="24"/>
        </w:rPr>
        <w:sym w:font="Symbol" w:char="0044"/>
      </w:r>
      <w:r w:rsidRPr="00394589">
        <w:rPr>
          <w:b w:val="0"/>
          <w:bCs w:val="0"/>
          <w:sz w:val="24"/>
        </w:rPr>
        <w:sym w:font="Symbol" w:char="0048"/>
      </w:r>
      <w:r w:rsidRPr="00394589">
        <w:rPr>
          <w:b w:val="0"/>
          <w:bCs w:val="0"/>
          <w:sz w:val="24"/>
          <w:vertAlign w:val="superscript"/>
        </w:rPr>
        <w:t>*</w:t>
      </w:r>
      <w:r w:rsidRPr="00394589">
        <w:rPr>
          <w:b w:val="0"/>
          <w:bCs w:val="0"/>
          <w:sz w:val="24"/>
        </w:rPr>
        <w:t>+2</w:t>
      </w:r>
      <w:r w:rsidRPr="00394589">
        <w:rPr>
          <w:b w:val="0"/>
          <w:bCs w:val="0"/>
          <w:sz w:val="24"/>
          <w:lang w:val="en-US"/>
        </w:rPr>
        <w:t>RT</w:t>
      </w:r>
      <w:r w:rsidRPr="00394589">
        <w:rPr>
          <w:b w:val="0"/>
          <w:bCs w:val="0"/>
          <w:sz w:val="24"/>
        </w:rPr>
        <w:t>, но для большинства реакции Е</w:t>
      </w:r>
      <w:r w:rsidRPr="00394589">
        <w:rPr>
          <w:b w:val="0"/>
          <w:bCs w:val="0"/>
          <w:sz w:val="24"/>
          <w:vertAlign w:val="subscript"/>
        </w:rPr>
        <w:t>а</w:t>
      </w:r>
      <w:r w:rsidRPr="00394589">
        <w:rPr>
          <w:b w:val="0"/>
          <w:bCs w:val="0"/>
          <w:sz w:val="24"/>
        </w:rPr>
        <w:sym w:font="Symbol" w:char="00BB"/>
      </w:r>
      <w:r w:rsidRPr="00394589">
        <w:rPr>
          <w:b w:val="0"/>
          <w:bCs w:val="0"/>
          <w:sz w:val="24"/>
        </w:rPr>
        <w:sym w:font="Symbol" w:char="0044"/>
      </w:r>
      <w:r w:rsidRPr="00394589">
        <w:rPr>
          <w:b w:val="0"/>
          <w:bCs w:val="0"/>
          <w:sz w:val="24"/>
        </w:rPr>
        <w:sym w:font="Symbol" w:char="0048"/>
      </w:r>
      <w:r w:rsidRPr="00394589">
        <w:rPr>
          <w:b w:val="0"/>
          <w:bCs w:val="0"/>
          <w:sz w:val="24"/>
          <w:vertAlign w:val="superscript"/>
        </w:rPr>
        <w:t>*</w:t>
      </w:r>
      <w:r w:rsidRPr="00394589">
        <w:rPr>
          <w:b w:val="0"/>
          <w:bCs w:val="0"/>
          <w:sz w:val="24"/>
        </w:rPr>
        <w:t xml:space="preserve"> и тогда уравнение и общем виде будет:</w:t>
      </w:r>
    </w:p>
    <w:p w14:paraId="3E9A6ED2" w14:textId="77777777" w:rsidR="00E60333" w:rsidRPr="00394589" w:rsidRDefault="00E60333" w:rsidP="00E60333">
      <w:pPr>
        <w:pStyle w:val="a3"/>
        <w:spacing w:line="360" w:lineRule="auto"/>
        <w:rPr>
          <w:sz w:val="24"/>
        </w:rPr>
      </w:pPr>
      <w:r w:rsidRPr="00394589">
        <w:rPr>
          <w:position w:val="-24"/>
          <w:sz w:val="24"/>
        </w:rPr>
        <w:object w:dxaOrig="1600" w:dyaOrig="680" w14:anchorId="49BA793A">
          <v:shape id="_x0000_i1042" type="#_x0000_t75" style="width:80.4pt;height:33.6pt" o:ole="">
            <v:imagedata r:id="rId29" o:title=""/>
          </v:shape>
          <o:OLEObject Type="Embed" ProgID="Equation.3" ShapeID="_x0000_i1042" DrawAspect="Content" ObjectID="_1756452005" r:id="rId30"/>
        </w:object>
      </w:r>
      <w:r w:rsidRPr="00394589">
        <w:rPr>
          <w:sz w:val="24"/>
        </w:rPr>
        <w:t xml:space="preserve">,                 </w:t>
      </w:r>
      <w:r w:rsidRPr="00394589">
        <w:rPr>
          <w:b w:val="0"/>
          <w:sz w:val="24"/>
        </w:rPr>
        <w:t>(21)</w:t>
      </w:r>
    </w:p>
    <w:p w14:paraId="459A3D57" w14:textId="77777777" w:rsidR="00E60333" w:rsidRPr="00394589" w:rsidRDefault="00E60333" w:rsidP="00E60333">
      <w:pPr>
        <w:pStyle w:val="a3"/>
        <w:spacing w:line="360" w:lineRule="auto"/>
        <w:ind w:firstLine="454"/>
        <w:rPr>
          <w:sz w:val="24"/>
        </w:rPr>
      </w:pPr>
      <w:r w:rsidRPr="00394589">
        <w:rPr>
          <w:sz w:val="24"/>
        </w:rPr>
        <w:t>Физический смысл предэкспоненциального множителя согласно теории активированного комплекса</w:t>
      </w:r>
    </w:p>
    <w:p w14:paraId="492FFE48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bCs w:val="0"/>
          <w:sz w:val="24"/>
        </w:rPr>
      </w:pPr>
      <w:r w:rsidRPr="00394589">
        <w:rPr>
          <w:b w:val="0"/>
          <w:bCs w:val="0"/>
          <w:sz w:val="24"/>
        </w:rPr>
        <w:t xml:space="preserve">Сравнивая уравнение для константы скорости теории переходного состояния в общем виде (21) с уравнением Аррениуса </w:t>
      </w:r>
      <w:r w:rsidRPr="00394589">
        <w:rPr>
          <w:b w:val="0"/>
          <w:bCs w:val="0"/>
          <w:position w:val="-6"/>
          <w:sz w:val="24"/>
        </w:rPr>
        <w:object w:dxaOrig="1239" w:dyaOrig="500" w14:anchorId="11C986F5">
          <v:shape id="_x0000_i1043" type="#_x0000_t75" style="width:62.4pt;height:24.6pt" o:ole="">
            <v:imagedata r:id="rId31" o:title=""/>
          </v:shape>
          <o:OLEObject Type="Embed" ProgID="Equation.3" ShapeID="_x0000_i1043" DrawAspect="Content" ObjectID="_1756452006" r:id="rId32"/>
        </w:object>
      </w:r>
      <w:r w:rsidRPr="00394589">
        <w:rPr>
          <w:b w:val="0"/>
          <w:bCs w:val="0"/>
          <w:sz w:val="24"/>
        </w:rPr>
        <w:t>, можно определить физический смысл предэкспоненциального множителя (А</w:t>
      </w:r>
      <w:r w:rsidRPr="00394589">
        <w:rPr>
          <w:b w:val="0"/>
          <w:bCs w:val="0"/>
          <w:sz w:val="24"/>
          <w:vertAlign w:val="subscript"/>
        </w:rPr>
        <w:t>0</w:t>
      </w:r>
      <w:r w:rsidRPr="00394589">
        <w:rPr>
          <w:b w:val="0"/>
          <w:bCs w:val="0"/>
          <w:sz w:val="24"/>
        </w:rPr>
        <w:t xml:space="preserve">) как : </w:t>
      </w:r>
    </w:p>
    <w:p w14:paraId="513AFB87" w14:textId="213688C2" w:rsidR="00E60333" w:rsidRPr="00394589" w:rsidRDefault="00E60333" w:rsidP="00E60333">
      <w:pPr>
        <w:pStyle w:val="a3"/>
        <w:spacing w:line="360" w:lineRule="auto"/>
        <w:rPr>
          <w:sz w:val="24"/>
        </w:rPr>
      </w:pPr>
      <w:r w:rsidRPr="00394589">
        <w:rPr>
          <w:position w:val="-24"/>
          <w:sz w:val="24"/>
          <w:highlight w:val="yellow"/>
        </w:rPr>
        <w:object w:dxaOrig="1420" w:dyaOrig="720" w14:anchorId="7B4B1328">
          <v:shape id="_x0000_i1044" type="#_x0000_t75" style="width:71.4pt;height:36pt" o:ole="">
            <v:imagedata r:id="rId33" o:title=""/>
          </v:shape>
          <o:OLEObject Type="Embed" ProgID="Equation.3" ShapeID="_x0000_i1044" DrawAspect="Content" ObjectID="_1756452007" r:id="rId34"/>
        </w:object>
      </w:r>
      <w:r w:rsidRPr="00394589">
        <w:rPr>
          <w:sz w:val="24"/>
        </w:rPr>
        <w:t xml:space="preserve">,  </w:t>
      </w:r>
      <w:r w:rsidRPr="00394589">
        <w:rPr>
          <w:sz w:val="24"/>
        </w:rPr>
        <w:t xml:space="preserve">      </w:t>
      </w:r>
      <w:r w:rsidRPr="00394589">
        <w:rPr>
          <w:b w:val="0"/>
          <w:sz w:val="24"/>
        </w:rPr>
        <w:t>(22)</w:t>
      </w:r>
    </w:p>
    <w:p w14:paraId="5ED04F0B" w14:textId="77777777" w:rsidR="00E60333" w:rsidRPr="00394589" w:rsidRDefault="00E60333" w:rsidP="00E60333">
      <w:pPr>
        <w:pStyle w:val="a3"/>
        <w:spacing w:line="360" w:lineRule="auto"/>
        <w:jc w:val="both"/>
        <w:rPr>
          <w:b w:val="0"/>
          <w:bCs w:val="0"/>
          <w:sz w:val="24"/>
          <w:lang w:val="ru-MD"/>
        </w:rPr>
      </w:pPr>
      <w:r w:rsidRPr="00394589">
        <w:rPr>
          <w:b w:val="0"/>
          <w:bCs w:val="0"/>
          <w:sz w:val="24"/>
        </w:rPr>
        <w:t xml:space="preserve">т.е. </w:t>
      </w:r>
      <w:r w:rsidRPr="00394589">
        <w:rPr>
          <w:b w:val="0"/>
          <w:bCs w:val="0"/>
          <w:position w:val="-4"/>
          <w:sz w:val="24"/>
        </w:rPr>
        <w:object w:dxaOrig="240" w:dyaOrig="260" w14:anchorId="0A2AE18B">
          <v:shape id="_x0000_i1045" type="#_x0000_t75" style="width:12pt;height:12.6pt" o:ole="">
            <v:imagedata r:id="rId35" o:title=""/>
          </v:shape>
          <o:OLEObject Type="Embed" ProgID="Equation.3" ShapeID="_x0000_i1045" DrawAspect="Content" ObjectID="_1756452008" r:id="rId36"/>
        </w:object>
      </w:r>
      <w:r w:rsidRPr="00394589">
        <w:rPr>
          <w:b w:val="0"/>
          <w:bCs w:val="0"/>
          <w:sz w:val="24"/>
        </w:rPr>
        <w:t xml:space="preserve"> является функцией энтропии активации. Это уравнение позволяет определить </w:t>
      </w:r>
      <w:r w:rsidRPr="00394589">
        <w:rPr>
          <w:b w:val="0"/>
          <w:bCs w:val="0"/>
          <w:sz w:val="24"/>
          <w:lang w:val="ru-MD"/>
        </w:rPr>
        <w:sym w:font="Symbol" w:char="0044"/>
      </w:r>
      <w:r w:rsidRPr="00394589">
        <w:rPr>
          <w:b w:val="0"/>
          <w:bCs w:val="0"/>
          <w:sz w:val="24"/>
          <w:lang w:val="en-US"/>
        </w:rPr>
        <w:t>S</w:t>
      </w:r>
      <w:r w:rsidRPr="00394589">
        <w:rPr>
          <w:b w:val="0"/>
          <w:bCs w:val="0"/>
          <w:sz w:val="24"/>
          <w:vertAlign w:val="superscript"/>
          <w:lang w:val="ru-MD"/>
        </w:rPr>
        <w:t>*</w:t>
      </w:r>
      <w:r w:rsidRPr="00394589">
        <w:rPr>
          <w:b w:val="0"/>
          <w:bCs w:val="0"/>
          <w:sz w:val="24"/>
          <w:lang w:val="ru-MD"/>
        </w:rPr>
        <w:t>.</w:t>
      </w:r>
    </w:p>
    <w:p w14:paraId="78755380" w14:textId="77777777" w:rsidR="00E60333" w:rsidRPr="00394589" w:rsidRDefault="00E60333" w:rsidP="00E60333">
      <w:pPr>
        <w:pStyle w:val="a3"/>
        <w:spacing w:line="360" w:lineRule="auto"/>
        <w:rPr>
          <w:sz w:val="24"/>
        </w:rPr>
      </w:pPr>
      <w:r w:rsidRPr="00394589">
        <w:rPr>
          <w:position w:val="-24"/>
          <w:sz w:val="24"/>
        </w:rPr>
        <w:object w:dxaOrig="1880" w:dyaOrig="660" w14:anchorId="2A1B364A">
          <v:shape id="_x0000_i1046" type="#_x0000_t75" style="width:93.6pt;height:33pt" o:ole="">
            <v:imagedata r:id="rId37" o:title=""/>
          </v:shape>
          <o:OLEObject Type="Embed" ProgID="Equation.3" ShapeID="_x0000_i1046" DrawAspect="Content" ObjectID="_1756452009" r:id="rId38"/>
        </w:object>
      </w:r>
      <w:r w:rsidRPr="00394589">
        <w:rPr>
          <w:sz w:val="24"/>
        </w:rPr>
        <w:t xml:space="preserve">.        </w:t>
      </w:r>
      <w:r w:rsidRPr="00394589">
        <w:rPr>
          <w:b w:val="0"/>
          <w:sz w:val="24"/>
        </w:rPr>
        <w:t>(23)</w:t>
      </w:r>
    </w:p>
    <w:p w14:paraId="48115507" w14:textId="77777777" w:rsidR="00E60333" w:rsidRPr="00394589" w:rsidRDefault="00E60333" w:rsidP="00E60333">
      <w:pPr>
        <w:pStyle w:val="a3"/>
        <w:spacing w:line="360" w:lineRule="auto"/>
        <w:jc w:val="both"/>
        <w:rPr>
          <w:sz w:val="24"/>
        </w:rPr>
      </w:pPr>
    </w:p>
    <w:p w14:paraId="5BF7CD60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</w:rPr>
      </w:pPr>
      <w:r w:rsidRPr="00394589">
        <w:rPr>
          <w:b w:val="0"/>
          <w:sz w:val="24"/>
        </w:rPr>
        <w:t>Структура активированного комплекса</w:t>
      </w:r>
    </w:p>
    <w:p w14:paraId="4C8EC1ED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  <w:lang w:val="ru-MD"/>
        </w:rPr>
      </w:pPr>
      <w:r w:rsidRPr="00394589">
        <w:rPr>
          <w:b w:val="0"/>
          <w:sz w:val="24"/>
          <w:u w:val="single"/>
        </w:rPr>
        <w:t>По величине энтропии активации (</w:t>
      </w:r>
      <w:r w:rsidRPr="00394589">
        <w:rPr>
          <w:b w:val="0"/>
          <w:sz w:val="24"/>
          <w:u w:val="single"/>
          <w:lang w:val="ru-MD"/>
        </w:rPr>
        <w:sym w:font="Symbol" w:char="0044"/>
      </w:r>
      <w:r w:rsidRPr="00394589">
        <w:rPr>
          <w:b w:val="0"/>
          <w:sz w:val="24"/>
          <w:u w:val="single"/>
          <w:lang w:val="en-US"/>
        </w:rPr>
        <w:t>S</w:t>
      </w:r>
      <w:r w:rsidRPr="00394589">
        <w:rPr>
          <w:b w:val="0"/>
          <w:sz w:val="24"/>
          <w:u w:val="single"/>
          <w:vertAlign w:val="superscript"/>
          <w:lang w:val="ru-MD"/>
        </w:rPr>
        <w:t>*</w:t>
      </w:r>
      <w:r w:rsidRPr="00394589">
        <w:rPr>
          <w:b w:val="0"/>
          <w:sz w:val="24"/>
          <w:u w:val="single"/>
          <w:lang w:val="ru-MD"/>
        </w:rPr>
        <w:t>) можно судить о структуре активированного комплекса</w:t>
      </w:r>
      <w:r w:rsidRPr="00394589">
        <w:rPr>
          <w:b w:val="0"/>
          <w:sz w:val="24"/>
          <w:lang w:val="ru-MD"/>
        </w:rPr>
        <w:t xml:space="preserve">. </w:t>
      </w:r>
    </w:p>
    <w:p w14:paraId="1BB28A13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</w:rPr>
      </w:pPr>
      <w:r w:rsidRPr="00394589">
        <w:rPr>
          <w:b w:val="0"/>
          <w:sz w:val="24"/>
          <w:lang w:val="ru-MD"/>
        </w:rPr>
        <w:t xml:space="preserve">а) </w:t>
      </w:r>
      <w:r w:rsidRPr="00394589">
        <w:rPr>
          <w:b w:val="0"/>
          <w:sz w:val="24"/>
          <w:lang w:val="ru-MD"/>
        </w:rPr>
        <w:sym w:font="Symbol" w:char="0044"/>
      </w:r>
      <w:r w:rsidRPr="00394589">
        <w:rPr>
          <w:b w:val="0"/>
          <w:sz w:val="24"/>
          <w:lang w:val="en-US"/>
        </w:rPr>
        <w:t>S</w:t>
      </w:r>
      <w:r w:rsidRPr="00394589">
        <w:rPr>
          <w:b w:val="0"/>
          <w:sz w:val="24"/>
          <w:vertAlign w:val="superscript"/>
          <w:lang w:val="ru-MD"/>
        </w:rPr>
        <w:t>*</w:t>
      </w:r>
      <w:r w:rsidRPr="00394589">
        <w:rPr>
          <w:b w:val="0"/>
          <w:sz w:val="24"/>
        </w:rPr>
        <w:t>&lt;0 - структура комплекса более компактная, жесткая по сравнению с исходными молекулами;</w:t>
      </w:r>
    </w:p>
    <w:p w14:paraId="2B67C0BD" w14:textId="77777777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</w:rPr>
      </w:pPr>
      <w:r w:rsidRPr="00394589">
        <w:rPr>
          <w:b w:val="0"/>
          <w:sz w:val="24"/>
        </w:rPr>
        <w:t xml:space="preserve">б) </w:t>
      </w:r>
      <w:r w:rsidRPr="00394589">
        <w:rPr>
          <w:b w:val="0"/>
          <w:sz w:val="24"/>
          <w:lang w:val="ru-MD"/>
        </w:rPr>
        <w:t xml:space="preserve"> </w:t>
      </w:r>
      <w:r w:rsidRPr="00394589">
        <w:rPr>
          <w:b w:val="0"/>
          <w:sz w:val="24"/>
          <w:lang w:val="ru-MD"/>
        </w:rPr>
        <w:sym w:font="Symbol" w:char="0044"/>
      </w:r>
      <w:r w:rsidRPr="00394589">
        <w:rPr>
          <w:b w:val="0"/>
          <w:sz w:val="24"/>
          <w:lang w:val="en-US"/>
        </w:rPr>
        <w:t>S</w:t>
      </w:r>
      <w:r w:rsidRPr="00394589">
        <w:rPr>
          <w:b w:val="0"/>
          <w:sz w:val="24"/>
          <w:vertAlign w:val="superscript"/>
          <w:lang w:val="ru-MD"/>
        </w:rPr>
        <w:t>*</w:t>
      </w:r>
      <w:r w:rsidRPr="00394589">
        <w:rPr>
          <w:b w:val="0"/>
          <w:sz w:val="24"/>
        </w:rPr>
        <w:t>&gt;0 – структура комплекса более свободная, «рыхлая», чем у исходных реагентов.</w:t>
      </w:r>
    </w:p>
    <w:p w14:paraId="4659D13A" w14:textId="77777777" w:rsidR="00E60333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</w:rPr>
      </w:pPr>
      <w:r w:rsidRPr="00394589">
        <w:rPr>
          <w:b w:val="0"/>
          <w:sz w:val="24"/>
        </w:rPr>
        <w:t xml:space="preserve">Из термодинамического аспекта теории активированного комплекса следует, что изменение термодинамических функций при переходе системы из состояния, соответствующего исходным реагентам, в состояние активированного комплекса, достаточно однозначно характеризуют те конкретные процессы перестройки ее атомно-молекулярной структуры, которые обычно включают в понятие химической реакции. </w:t>
      </w:r>
    </w:p>
    <w:p w14:paraId="2CEC0B47" w14:textId="1863927D" w:rsidR="00E60333" w:rsidRPr="00394589" w:rsidRDefault="00E60333" w:rsidP="00E60333">
      <w:pPr>
        <w:pStyle w:val="a3"/>
        <w:spacing w:line="360" w:lineRule="auto"/>
        <w:ind w:firstLine="454"/>
        <w:jc w:val="both"/>
        <w:rPr>
          <w:b w:val="0"/>
          <w:sz w:val="24"/>
        </w:rPr>
      </w:pPr>
      <w:r>
        <w:rPr>
          <w:b w:val="0"/>
          <w:sz w:val="24"/>
        </w:rPr>
        <w:t>Литература</w:t>
      </w:r>
    </w:p>
    <w:p w14:paraId="7B5933C8" w14:textId="77777777" w:rsidR="00E60333" w:rsidRPr="00121B14" w:rsidRDefault="00E60333" w:rsidP="00E60333">
      <w:pPr>
        <w:tabs>
          <w:tab w:val="left" w:pos="2436"/>
        </w:tabs>
        <w:jc w:val="both"/>
        <w:rPr>
          <w:rFonts w:eastAsia="Batang"/>
          <w:sz w:val="24"/>
          <w:szCs w:val="24"/>
          <w:lang w:eastAsia="ko-KR"/>
        </w:rPr>
      </w:pPr>
      <w:bookmarkStart w:id="0" w:name="_Hlk145838414"/>
      <w:r w:rsidRPr="00121B14">
        <w:rPr>
          <w:rFonts w:eastAsia="Batang"/>
          <w:sz w:val="24"/>
          <w:szCs w:val="24"/>
          <w:lang w:eastAsia="ko-KR"/>
        </w:rPr>
        <w:t>1. Оспанова А.К., Шабикова Г.Х., Сыздыкова Л.И. Теории и проблемы физической химии. Алматы. Изд-во КазНУ им. Аль-Фараби. 2021. С.191</w:t>
      </w:r>
    </w:p>
    <w:p w14:paraId="28248242" w14:textId="77777777" w:rsidR="00E60333" w:rsidRPr="00121B14" w:rsidRDefault="00E60333" w:rsidP="00E60333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rFonts w:eastAsia="Batang"/>
          <w:sz w:val="24"/>
          <w:szCs w:val="24"/>
          <w:lang w:eastAsia="ko-KR"/>
        </w:rPr>
        <w:t>2. Стромберг А.Г., Семченко Д.П. Физическая химия. М.: Высшая школа, 2003.-527. 193 экз.</w:t>
      </w:r>
    </w:p>
    <w:p w14:paraId="1BA5E888" w14:textId="77777777" w:rsidR="00E60333" w:rsidRPr="00121B14" w:rsidRDefault="00E60333" w:rsidP="00E60333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sz w:val="24"/>
          <w:szCs w:val="24"/>
        </w:rPr>
        <w:t>3.Дамаскин Б.Б., Петрий О.А., Цирлина Г.А. Электрохимия. – М.: Химия,  Колос С, 2006. – 672 с..25 экз.</w:t>
      </w:r>
    </w:p>
    <w:bookmarkEnd w:id="0"/>
    <w:p w14:paraId="0416F890" w14:textId="77777777" w:rsidR="00E60333" w:rsidRPr="00E60333" w:rsidRDefault="00E60333">
      <w:pPr>
        <w:rPr>
          <w:rFonts w:ascii="Times New Roman" w:hAnsi="Times New Roman" w:cs="Times New Roman"/>
          <w:sz w:val="24"/>
          <w:szCs w:val="24"/>
        </w:rPr>
      </w:pPr>
    </w:p>
    <w:sectPr w:rsidR="00E60333" w:rsidRPr="00E6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23"/>
    <w:rsid w:val="0008191F"/>
    <w:rsid w:val="006E0630"/>
    <w:rsid w:val="009A5B9C"/>
    <w:rsid w:val="00E60333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93E"/>
  <w15:chartTrackingRefBased/>
  <w15:docId w15:val="{FA49F8F1-5E66-475E-A7B1-F7C359D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603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paragraph" w:styleId="8">
    <w:name w:val="heading 8"/>
    <w:basedOn w:val="a"/>
    <w:next w:val="a"/>
    <w:link w:val="80"/>
    <w:qFormat/>
    <w:rsid w:val="00E6033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0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character" w:customStyle="1" w:styleId="a4">
    <w:name w:val="Основной текст Знак"/>
    <w:basedOn w:val="a0"/>
    <w:link w:val="a3"/>
    <w:semiHidden/>
    <w:rsid w:val="00E60333"/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E603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333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E60333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rsid w:val="00E60333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2</cp:revision>
  <dcterms:created xsi:type="dcterms:W3CDTF">2023-09-17T04:25:00Z</dcterms:created>
  <dcterms:modified xsi:type="dcterms:W3CDTF">2023-09-17T04:30:00Z</dcterms:modified>
</cp:coreProperties>
</file>